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4" w:rsidRPr="00E41F85" w:rsidRDefault="00062286">
      <w:pPr>
        <w:snapToGrid w:val="0"/>
        <w:spacing w:line="560" w:lineRule="atLeas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E41F85">
        <w:rPr>
          <w:rFonts w:ascii="黑体" w:eastAsia="黑体" w:hAnsi="黑体" w:cs="黑体" w:hint="eastAsia"/>
          <w:sz w:val="32"/>
          <w:szCs w:val="32"/>
        </w:rPr>
        <w:t>附件：</w:t>
      </w:r>
    </w:p>
    <w:p w:rsidR="00B75C44" w:rsidRDefault="00B75C44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75C44" w:rsidRDefault="00062286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北京市法学会</w:t>
      </w:r>
    </w:p>
    <w:p w:rsidR="00B75C44" w:rsidRDefault="00062286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2017年市级法学研究课题</w:t>
      </w:r>
      <w:r w:rsidR="00F85281">
        <w:rPr>
          <w:rFonts w:ascii="黑体" w:eastAsia="黑体" w:hAnsi="黑体" w:cs="黑体" w:hint="eastAsia"/>
          <w:b/>
          <w:bCs/>
          <w:sz w:val="36"/>
          <w:szCs w:val="36"/>
        </w:rPr>
        <w:t>结项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名单</w:t>
      </w:r>
    </w:p>
    <w:p w:rsidR="00B75C44" w:rsidRDefault="00B75C44">
      <w:pPr>
        <w:snapToGrid w:val="0"/>
        <w:spacing w:line="560" w:lineRule="atLeast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一、重点课题（10项）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1、北京市城市副中心建设法治保障问题研究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陈立如   北京市通州区人民法院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立项编号：BLS(2017)A001</w:t>
      </w:r>
    </w:p>
    <w:p w:rsidR="008012C5" w:rsidRDefault="008012C5">
      <w:pPr>
        <w:snapToGrid w:val="0"/>
        <w:spacing w:line="56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结项等级</w:t>
      </w:r>
      <w:r>
        <w:rPr>
          <w:rFonts w:ascii="仿宋" w:eastAsia="仿宋" w:hAnsi="仿宋" w:cs="仿宋"/>
          <w:bCs/>
          <w:sz w:val="32"/>
          <w:szCs w:val="32"/>
        </w:rPr>
        <w:t>：</w:t>
      </w:r>
      <w:r w:rsidR="00C13684">
        <w:rPr>
          <w:rFonts w:ascii="仿宋" w:eastAsia="仿宋" w:hAnsi="仿宋" w:cs="仿宋" w:hint="eastAsia"/>
          <w:bCs/>
          <w:sz w:val="32"/>
          <w:szCs w:val="32"/>
        </w:rPr>
        <w:t>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2、贯彻国家总体安全观，依法维护首都安全研究（委托）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李中水   中共北京市委政法委员会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立项编号：BLS(2017)A002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结项等级</w:t>
      </w:r>
      <w:r>
        <w:rPr>
          <w:rFonts w:ascii="仿宋" w:eastAsia="仿宋" w:hAnsi="仿宋" w:cs="仿宋"/>
          <w:bCs/>
          <w:sz w:val="32"/>
          <w:szCs w:val="32"/>
        </w:rPr>
        <w:t>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3、监察体制改革试点相关问题研究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崔英楠   北京市立法学研究会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立项编号：BLS(2017)A003</w:t>
      </w:r>
    </w:p>
    <w:p w:rsidR="00C13684" w:rsidRDefault="00C13684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　4、认罪认罚从宽机制研究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王  伟   北京市人民检察院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立项编号：BLS(2017)A004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　5、</w:t>
      </w:r>
      <w:r w:rsidR="00EC67B3" w:rsidRPr="00EC67B3">
        <w:rPr>
          <w:rFonts w:ascii="仿宋" w:eastAsia="仿宋" w:hAnsi="仿宋" w:cs="仿宋" w:hint="eastAsia"/>
          <w:b/>
          <w:bCs/>
          <w:sz w:val="32"/>
          <w:szCs w:val="32"/>
        </w:rPr>
        <w:t>司法责任制实施中党的监督问题研究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（委托）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萧有茂   中共北京市委政法委员会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立项编号：BLS(2017)A005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6、司法人员惩戒机制研究（委托）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鲁  为   中共北京市委政法委员会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立项编号：BLS(2017)A006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  7、司法大数据应用的法治保障（委托）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成   北京大学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立项编号：BLS(2017)A007-1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结项等级：优秀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雯   北京市丰台区人民法院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立项编号：BLS(2017)A007-2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8、北京市行政执法协调机制研究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高秦伟   中央财经大学</w:t>
      </w:r>
    </w:p>
    <w:p w:rsidR="00B75C44" w:rsidRDefault="00062286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立项编号：BLS(2017)A008</w:t>
      </w:r>
    </w:p>
    <w:p w:rsidR="00C13684" w:rsidRDefault="00C13684" w:rsidP="00C13684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9、北京市公共服务法律体系建设（委托）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苗  林   北京市司法局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立项编号：BLS(2017)A009</w:t>
      </w:r>
    </w:p>
    <w:p w:rsidR="00C13684" w:rsidRDefault="00C13684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numPr>
          <w:ilvl w:val="0"/>
          <w:numId w:val="1"/>
        </w:num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“一带一路”背景下北京市打造商事纠纷解决中心的路径研究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丽   北京融商一带一路法律与商事服务中心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立项编号：BLS(2017)A010</w:t>
      </w:r>
    </w:p>
    <w:p w:rsidR="00B75C44" w:rsidRDefault="00C13684" w:rsidP="00C13684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C13684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  <w:r w:rsidR="00062286" w:rsidRPr="00C13684">
        <w:rPr>
          <w:rFonts w:ascii="仿宋" w:eastAsia="仿宋" w:hAnsi="仿宋" w:cs="仿宋" w:hint="eastAsia"/>
          <w:bCs/>
          <w:sz w:val="32"/>
          <w:szCs w:val="32"/>
        </w:rPr>
        <w:t xml:space="preserve">　</w:t>
      </w:r>
    </w:p>
    <w:p w:rsidR="00C13684" w:rsidRPr="00C13684" w:rsidRDefault="00C13684" w:rsidP="00C13684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二、一般课题（20项）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1、北京市地方立法质量评价机制与标准研究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于文豪   中央财经大学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立项编号：BLS(2017)B001</w:t>
      </w:r>
    </w:p>
    <w:p w:rsidR="001610BD" w:rsidRPr="001610BD" w:rsidRDefault="001610BD">
      <w:pPr>
        <w:snapToGrid w:val="0"/>
        <w:spacing w:line="560" w:lineRule="atLeast"/>
        <w:ind w:firstLine="642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2、保障首都功能实现的立法研究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刘小妹   中国社会科学院国际法研究所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立项编号：BLS(2017)B002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3、京津冀协同发展中的税收协调问题研究</w:t>
      </w:r>
    </w:p>
    <w:p w:rsidR="00B75C44" w:rsidRDefault="001610BD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沈永奇</w:t>
      </w:r>
      <w:r w:rsidR="00062286">
        <w:rPr>
          <w:rFonts w:ascii="仿宋" w:eastAsia="仿宋" w:hAnsi="仿宋" w:cs="仿宋" w:hint="eastAsia"/>
          <w:sz w:val="32"/>
          <w:szCs w:val="32"/>
        </w:rPr>
        <w:t xml:space="preserve">   北京税收法制建设研究会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立项编号：BLS(2017)B003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4、疏解非首都功能对劳动关系的影响和司法对策</w:t>
      </w:r>
    </w:p>
    <w:p w:rsidR="00B75C44" w:rsidRDefault="00062286">
      <w:pPr>
        <w:snapToGrid w:val="0"/>
        <w:spacing w:line="56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索宏钢   北京市第三中级人民法院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立项编号：BLS(2017)B004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5、社会共治视阙下的北京市</w:t>
      </w:r>
      <w:r w:rsidRPr="003A5B80">
        <w:rPr>
          <w:rFonts w:ascii="仿宋" w:eastAsia="仿宋" w:hAnsi="仿宋" w:cs="仿宋" w:hint="eastAsia"/>
          <w:b/>
          <w:bCs/>
          <w:sz w:val="32"/>
          <w:szCs w:val="32"/>
        </w:rPr>
        <w:t>食品安全</w:t>
      </w:r>
      <w:r w:rsidR="001610BD" w:rsidRPr="003A5B80">
        <w:rPr>
          <w:rFonts w:ascii="仿宋" w:eastAsia="仿宋" w:hAnsi="仿宋" w:cs="仿宋" w:hint="eastAsia"/>
          <w:b/>
          <w:bCs/>
          <w:sz w:val="32"/>
          <w:szCs w:val="32"/>
        </w:rPr>
        <w:t>法律</w:t>
      </w:r>
      <w:r w:rsidRPr="003A5B80">
        <w:rPr>
          <w:rFonts w:ascii="仿宋" w:eastAsia="仿宋" w:hAnsi="仿宋" w:cs="仿宋" w:hint="eastAsia"/>
          <w:b/>
          <w:bCs/>
          <w:sz w:val="32"/>
          <w:szCs w:val="32"/>
        </w:rPr>
        <w:t>治理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实证研究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刘俊海   中国人民大学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立项编号：BLS(2017)B005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lastRenderedPageBreak/>
        <w:t>结项等级：</w:t>
      </w:r>
      <w:r>
        <w:rPr>
          <w:rFonts w:ascii="仿宋" w:eastAsia="仿宋" w:hAnsi="仿宋" w:cs="仿宋" w:hint="eastAsia"/>
          <w:sz w:val="32"/>
          <w:szCs w:val="32"/>
        </w:rPr>
        <w:t>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6、北京市老旧小区综合改造法律问题研究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苗乐如   北京市房地产法学会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立项编号：BLS(2017)B006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7、北京市公共交通安全法律问题研究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  翔   北京交通大学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立项编号：BLS(2017)B007-1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华列兵   北京市公安局法制总队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立项编号：BLS(2017)B007-2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8、统一登记背景下的北京市不动产交易管理制度研究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  飞   中央财经大学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立项编号：BLS(2017)B008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</w:t>
      </w:r>
      <w:r>
        <w:rPr>
          <w:rFonts w:ascii="仿宋" w:eastAsia="仿宋" w:hAnsi="仿宋" w:cs="仿宋" w:hint="eastAsia"/>
          <w:sz w:val="32"/>
          <w:szCs w:val="32"/>
        </w:rPr>
        <w:t>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9、京津冀旅游一体化的法治保障研究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王惠静   北京第二外国语学院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立项编号：BLS(2017)B009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10、北京市大气污染行政执法应急响应协同机制研究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高桂林   首都经济贸易大学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立项编号：BLS(2017)B010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sz w:val="32"/>
          <w:szCs w:val="32"/>
        </w:rPr>
      </w:pPr>
      <w:r w:rsidRPr="001610BD">
        <w:rPr>
          <w:rFonts w:ascii="仿宋" w:eastAsia="仿宋" w:hAnsi="仿宋" w:cs="仿宋" w:hint="eastAsia"/>
          <w:sz w:val="32"/>
          <w:szCs w:val="32"/>
        </w:rPr>
        <w:t>结项等级：</w:t>
      </w:r>
      <w:r>
        <w:rPr>
          <w:rFonts w:ascii="仿宋" w:eastAsia="仿宋" w:hAnsi="仿宋" w:cs="仿宋" w:hint="eastAsia"/>
          <w:sz w:val="32"/>
          <w:szCs w:val="32"/>
        </w:rPr>
        <w:t>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 xml:space="preserve">　　11、北京市住房租赁产业化的问题与立法应对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赵秀池   北京市房地产法学会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立项编号：BLS(2017)B011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12、北京市区域金融监管与中央金融监管职能协调机制研究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李爱君   中国政法大学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立项编号：BLS(2017)B012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13、北京市非物质文化遗产保护法律问题研究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韩赤风   北京师范大学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立项编号：BLS(2017)B013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14、京郊农村宅基地及房屋继承纠纷化解难点及对策研究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刘双玉   北京市第三中级人民法院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立项编号：BLS(2017)B014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15、北京市司法人员依法履职保障机制问题研究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安凤德   北京市高级人民法院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立项编号：BLS(2017)B015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  16、第三方社会力量参与涉法涉诉矛盾化解工作实证研究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钟达先   北京市人民检察院检察管理监督部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立项编号：BLS(2017)B016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17、冬奥会背景下奥林匹克法制研究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杨素娟   中国政法大学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立项编号：BLS(2017)B017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18、人民检察院组织法的修改与完善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敬大力   北京市人民检察院</w:t>
      </w:r>
    </w:p>
    <w:p w:rsidR="008F422A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立项编号：BLS(2017)B018</w:t>
      </w:r>
    </w:p>
    <w:p w:rsidR="001610BD" w:rsidRP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20、监狱民警依法履职免责制度研究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刘鹏涛   北京市监狱管理局清河分局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立项编号：BLS(2017)B020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B75C44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三、青年课题（10项）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1、北京市宅基地使用权纠纷司法实证研究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聂卫锋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  北京联合大学</w:t>
      </w:r>
    </w:p>
    <w:p w:rsidR="001610BD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立项编号：BLS(2017)C001</w:t>
      </w:r>
    </w:p>
    <w:p w:rsidR="001610BD" w:rsidRDefault="001610BD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</w:t>
      </w:r>
      <w:r>
        <w:rPr>
          <w:rFonts w:ascii="仿宋" w:eastAsia="仿宋" w:hAnsi="仿宋" w:cs="仿宋" w:hint="eastAsia"/>
          <w:bCs/>
          <w:sz w:val="32"/>
          <w:szCs w:val="32"/>
        </w:rPr>
        <w:t>优秀</w:t>
      </w:r>
    </w:p>
    <w:p w:rsidR="00B75C44" w:rsidRDefault="00062286" w:rsidP="001610BD">
      <w:pPr>
        <w:snapToGrid w:val="0"/>
        <w:spacing w:line="560" w:lineRule="atLeast"/>
        <w:ind w:firstLine="64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2、京津冀人大立法规划协同机制研究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张  欣</w:t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  <w:t>对外经济贸易大学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立项编号：BLS(2017)C002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lastRenderedPageBreak/>
        <w:t>结项等级：</w:t>
      </w:r>
      <w:r>
        <w:rPr>
          <w:rFonts w:ascii="仿宋" w:eastAsia="仿宋" w:hAnsi="仿宋" w:cs="仿宋" w:hint="eastAsia"/>
          <w:bCs/>
          <w:sz w:val="32"/>
          <w:szCs w:val="32"/>
        </w:rPr>
        <w:t>优秀</w:t>
      </w:r>
    </w:p>
    <w:p w:rsidR="00B75C44" w:rsidRDefault="00062286">
      <w:pPr>
        <w:snapToGrid w:val="0"/>
        <w:spacing w:line="56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3、对虚假仲裁的检察监督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胡思博   中国政法大学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立项编号：BLS(2017)C003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4、共同犯罪的认定方法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秦雪娜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  北京理工大学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立项编号：BLS(2017)C004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5、检察机关内设机构改革实证研究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陈威杰    北京市昌平区人民检察院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立项编号：BLS(2017)C005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6、北京市企业高管劳动争议解决方案研究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娄  宇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  中国政法大学   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立项编号：BLS(2017)C006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7、京津冀协同发展法治保障的问题与对策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尹少成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  首都经济贸易大学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立项编号：BLS(2017)C007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8、总体国家安全观视野下经济安全维护与金融犯罪规制研究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时  方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>中国社会科学院法学研究所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立项编号：BLS(2017)C008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9、中国语境下新兴权利的理论与实践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刘叶深   北方工业大学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立项编号：BLS(2017)C009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062286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10、首都地区互联网保险市场法律规制研究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董  彪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ab/>
        <w:t>北京工商大学</w:t>
      </w:r>
    </w:p>
    <w:p w:rsidR="00B75C44" w:rsidRDefault="00062286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立项编号：BLS(2017)C010</w:t>
      </w:r>
    </w:p>
    <w:p w:rsidR="001610BD" w:rsidRDefault="001610BD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610BD">
        <w:rPr>
          <w:rFonts w:ascii="仿宋" w:eastAsia="仿宋" w:hAnsi="仿宋" w:cs="仿宋" w:hint="eastAsia"/>
          <w:bCs/>
          <w:sz w:val="32"/>
          <w:szCs w:val="32"/>
        </w:rPr>
        <w:t>结项等级：合格</w:t>
      </w:r>
    </w:p>
    <w:p w:rsidR="00B75C44" w:rsidRDefault="00B75C44"/>
    <w:sectPr w:rsidR="00B75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5F" w:rsidRDefault="00F5025F" w:rsidP="00B6093C">
      <w:r>
        <w:separator/>
      </w:r>
    </w:p>
  </w:endnote>
  <w:endnote w:type="continuationSeparator" w:id="0">
    <w:p w:rsidR="00F5025F" w:rsidRDefault="00F5025F" w:rsidP="00B6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5F" w:rsidRDefault="00F5025F" w:rsidP="00B6093C">
      <w:r>
        <w:separator/>
      </w:r>
    </w:p>
  </w:footnote>
  <w:footnote w:type="continuationSeparator" w:id="0">
    <w:p w:rsidR="00F5025F" w:rsidRDefault="00F5025F" w:rsidP="00B6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9EAF"/>
    <w:multiLevelType w:val="singleLevel"/>
    <w:tmpl w:val="597A9EAF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A166A"/>
    <w:rsid w:val="00062286"/>
    <w:rsid w:val="001173DD"/>
    <w:rsid w:val="001610BD"/>
    <w:rsid w:val="003A4569"/>
    <w:rsid w:val="003A5B80"/>
    <w:rsid w:val="008012C5"/>
    <w:rsid w:val="00875CC7"/>
    <w:rsid w:val="008F422A"/>
    <w:rsid w:val="00B6093C"/>
    <w:rsid w:val="00B75C44"/>
    <w:rsid w:val="00BB54C4"/>
    <w:rsid w:val="00C13684"/>
    <w:rsid w:val="00D54A58"/>
    <w:rsid w:val="00E41F85"/>
    <w:rsid w:val="00EC67B3"/>
    <w:rsid w:val="00F5025F"/>
    <w:rsid w:val="00F85281"/>
    <w:rsid w:val="08352B27"/>
    <w:rsid w:val="0A7835CD"/>
    <w:rsid w:val="1E1A166A"/>
    <w:rsid w:val="26CE3DC5"/>
    <w:rsid w:val="29893E67"/>
    <w:rsid w:val="46166AC9"/>
    <w:rsid w:val="467B41D2"/>
    <w:rsid w:val="540A0958"/>
    <w:rsid w:val="57164414"/>
    <w:rsid w:val="5DE706FE"/>
    <w:rsid w:val="6C2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150CD"/>
  <w15:docId w15:val="{6BB10620-FE5A-4C1F-AAFD-39926EA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093C"/>
    <w:rPr>
      <w:kern w:val="2"/>
      <w:sz w:val="18"/>
      <w:szCs w:val="18"/>
    </w:rPr>
  </w:style>
  <w:style w:type="paragraph" w:styleId="a5">
    <w:name w:val="footer"/>
    <w:basedOn w:val="a"/>
    <w:link w:val="a6"/>
    <w:rsid w:val="00B6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093C"/>
    <w:rPr>
      <w:kern w:val="2"/>
      <w:sz w:val="18"/>
      <w:szCs w:val="18"/>
    </w:rPr>
  </w:style>
  <w:style w:type="paragraph" w:styleId="a7">
    <w:name w:val="Balloon Text"/>
    <w:basedOn w:val="a"/>
    <w:link w:val="a8"/>
    <w:rsid w:val="00E41F85"/>
    <w:rPr>
      <w:sz w:val="18"/>
      <w:szCs w:val="18"/>
    </w:rPr>
  </w:style>
  <w:style w:type="character" w:customStyle="1" w:styleId="a8">
    <w:name w:val="批注框文本 字符"/>
    <w:basedOn w:val="a0"/>
    <w:link w:val="a7"/>
    <w:rsid w:val="00E41F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408</Words>
  <Characters>2329</Characters>
  <Application>Microsoft Office Word</Application>
  <DocSecurity>0</DocSecurity>
  <Lines>19</Lines>
  <Paragraphs>5</Paragraphs>
  <ScaleCrop>false</ScaleCrop>
  <Company>Lenovo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2018-11-26T02:35:00Z</cp:lastPrinted>
  <dcterms:created xsi:type="dcterms:W3CDTF">2018-11-16T03:44:00Z</dcterms:created>
  <dcterms:modified xsi:type="dcterms:W3CDTF">2018-11-26T05:45:00Z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